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B0" w:rsidRDefault="00AC6EB0" w:rsidP="00AC6EB0">
      <w:pPr>
        <w:pStyle w:val="CoverText"/>
        <w:ind w:left="720" w:hanging="720"/>
        <w:rPr>
          <w:szCs w:val="24"/>
        </w:rPr>
      </w:pPr>
    </w:p>
    <w:p w:rsidR="00AC6EB0" w:rsidRDefault="00AC6EB0" w:rsidP="00102B7E">
      <w:pPr>
        <w:pStyle w:val="CoverText"/>
        <w:spacing w:after="120"/>
        <w:ind w:left="720" w:hanging="720"/>
        <w:rPr>
          <w:szCs w:val="24"/>
        </w:rPr>
      </w:pPr>
      <w:r w:rsidRPr="00395DD3">
        <w:rPr>
          <w:szCs w:val="24"/>
        </w:rPr>
        <w:t>Case No: HQ16X01238</w:t>
      </w:r>
      <w:r>
        <w:rPr>
          <w:szCs w:val="24"/>
        </w:rPr>
        <w:t>, HQ17X02637 and HQ17X04248</w:t>
      </w:r>
    </w:p>
    <w:p w:rsidR="00AC6EB0" w:rsidRPr="00395DD3" w:rsidRDefault="00AC6EB0" w:rsidP="00102B7E">
      <w:pPr>
        <w:pStyle w:val="CoverText"/>
        <w:spacing w:after="120"/>
        <w:ind w:left="720" w:hanging="720"/>
        <w:rPr>
          <w:b/>
          <w:spacing w:val="-3"/>
          <w:szCs w:val="24"/>
        </w:rPr>
      </w:pPr>
    </w:p>
    <w:p w:rsidR="00AC6EB0" w:rsidRPr="003C2856" w:rsidRDefault="00AC6EB0" w:rsidP="00102B7E">
      <w:pPr>
        <w:pStyle w:val="CoverText"/>
        <w:spacing w:after="120"/>
        <w:ind w:left="720" w:hanging="720"/>
        <w:jc w:val="left"/>
        <w:rPr>
          <w:b/>
          <w:bCs/>
          <w:szCs w:val="24"/>
          <w:u w:val="none"/>
        </w:rPr>
      </w:pPr>
      <w:r w:rsidRPr="00395DD3">
        <w:rPr>
          <w:b/>
          <w:bCs/>
          <w:szCs w:val="24"/>
        </w:rPr>
        <w:t>Neutral Citation Number:</w:t>
      </w:r>
      <w:r w:rsidRPr="003C2856">
        <w:rPr>
          <w:b/>
          <w:bCs/>
          <w:szCs w:val="24"/>
        </w:rPr>
        <w:t xml:space="preserve"> </w:t>
      </w:r>
      <w:r w:rsidRPr="003C2856">
        <w:rPr>
          <w:szCs w:val="24"/>
        </w:rPr>
        <w:t xml:space="preserve">[2019] </w:t>
      </w:r>
      <w:proofErr w:type="spellStart"/>
      <w:r w:rsidRPr="003C2856">
        <w:rPr>
          <w:szCs w:val="24"/>
        </w:rPr>
        <w:t>EWHC</w:t>
      </w:r>
      <w:proofErr w:type="spellEnd"/>
      <w:r w:rsidR="00745156">
        <w:rPr>
          <w:szCs w:val="24"/>
        </w:rPr>
        <w:t xml:space="preserve"> 3408</w:t>
      </w:r>
      <w:r w:rsidRPr="003C2856">
        <w:rPr>
          <w:szCs w:val="24"/>
        </w:rPr>
        <w:t xml:space="preserve"> (QB)</w:t>
      </w:r>
    </w:p>
    <w:p w:rsidR="00AC6EB0" w:rsidRDefault="00AC6EB0" w:rsidP="00102B7E">
      <w:pPr>
        <w:spacing w:after="120"/>
        <w:ind w:left="720" w:hanging="720"/>
        <w:rPr>
          <w:b/>
        </w:rPr>
      </w:pPr>
    </w:p>
    <w:p w:rsidR="00AC6EB0" w:rsidRPr="00395DD3" w:rsidRDefault="00AC6EB0" w:rsidP="00102B7E">
      <w:pPr>
        <w:spacing w:after="120"/>
        <w:rPr>
          <w:b/>
        </w:rPr>
      </w:pPr>
    </w:p>
    <w:p w:rsidR="00AC6EB0" w:rsidRDefault="00AC6EB0" w:rsidP="00AC6EB0">
      <w:pPr>
        <w:ind w:left="720" w:hanging="720"/>
        <w:rPr>
          <w:b/>
        </w:rPr>
      </w:pPr>
      <w:r w:rsidRPr="00395DD3">
        <w:rPr>
          <w:b/>
        </w:rPr>
        <w:t>THE POST OFFICE GROUP LITIGATION</w:t>
      </w:r>
    </w:p>
    <w:p w:rsidR="00AC6EB0" w:rsidRPr="00395DD3" w:rsidRDefault="00AC6EB0" w:rsidP="00AC6EB0">
      <w:pPr>
        <w:pStyle w:val="CoverMai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Cs w:val="24"/>
        </w:rPr>
      </w:pPr>
      <w:r w:rsidRPr="00395DD3">
        <w:rPr>
          <w:szCs w:val="24"/>
        </w:rPr>
        <w:t>IN THE HIGH COURT OF JUSTICE</w:t>
      </w:r>
    </w:p>
    <w:p w:rsidR="00AC6EB0" w:rsidRPr="00395DD3" w:rsidRDefault="00AC6EB0" w:rsidP="00AC6EB0">
      <w:pPr>
        <w:suppressAutoHyphens/>
        <w:ind w:left="720" w:hanging="720"/>
        <w:rPr>
          <w:b/>
          <w:spacing w:val="-3"/>
          <w:u w:val="single"/>
        </w:rPr>
      </w:pPr>
      <w:r w:rsidRPr="00395DD3">
        <w:rPr>
          <w:b/>
          <w:spacing w:val="-3"/>
          <w:u w:val="single"/>
        </w:rPr>
        <w:t>QUEENS BENCH DIVISION</w:t>
      </w:r>
    </w:p>
    <w:p w:rsidR="00AC6EB0" w:rsidRDefault="00AC6EB0" w:rsidP="00AC6EB0">
      <w:pPr>
        <w:tabs>
          <w:tab w:val="right" w:pos="9746"/>
        </w:tabs>
        <w:jc w:val="right"/>
        <w:rPr>
          <w:u w:val="single"/>
        </w:rPr>
      </w:pPr>
      <w:r>
        <w:rPr>
          <w:u w:val="single"/>
        </w:rPr>
        <w:t>Rolls Building</w:t>
      </w:r>
    </w:p>
    <w:p w:rsidR="00AC6EB0" w:rsidRDefault="00AC6EB0" w:rsidP="00AC6EB0">
      <w:pPr>
        <w:tabs>
          <w:tab w:val="right" w:pos="9746"/>
        </w:tabs>
        <w:jc w:val="right"/>
        <w:rPr>
          <w:u w:val="single"/>
        </w:rPr>
      </w:pPr>
      <w:r>
        <w:rPr>
          <w:u w:val="single"/>
        </w:rPr>
        <w:t>Fetter Lane</w:t>
      </w:r>
    </w:p>
    <w:p w:rsidR="00AC6EB0" w:rsidRDefault="00AC6EB0" w:rsidP="00AC6EB0">
      <w:pPr>
        <w:suppressAutoHyphens/>
        <w:ind w:left="720" w:hanging="720"/>
        <w:jc w:val="right"/>
        <w:rPr>
          <w:u w:val="single"/>
        </w:rPr>
      </w:pPr>
      <w:r>
        <w:rPr>
          <w:u w:val="single"/>
        </w:rPr>
        <w:t>London, EC4A 1NL</w:t>
      </w:r>
    </w:p>
    <w:p w:rsidR="00AC6EB0" w:rsidRDefault="00AC6EB0" w:rsidP="00AC6EB0">
      <w:pPr>
        <w:suppressAutoHyphens/>
        <w:ind w:left="720" w:hanging="720"/>
        <w:jc w:val="right"/>
      </w:pPr>
    </w:p>
    <w:p w:rsidR="00AC6EB0" w:rsidRPr="00395DD3" w:rsidRDefault="00AC6EB0" w:rsidP="00AC6EB0">
      <w:pPr>
        <w:suppressAutoHyphens/>
        <w:ind w:left="720" w:hanging="720"/>
        <w:jc w:val="right"/>
        <w:rPr>
          <w:b/>
        </w:rPr>
      </w:pPr>
      <w:r w:rsidRPr="00395DD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8726805</wp:posOffset>
                </wp:positionH>
                <wp:positionV relativeFrom="paragraph">
                  <wp:posOffset>212725</wp:posOffset>
                </wp:positionV>
                <wp:extent cx="153035" cy="228600"/>
                <wp:effectExtent l="59055" t="61595" r="54610" b="52705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53035" cy="2286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955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86.45pt;margin-top:16.05pt;width:13.4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">
                <v:imagedata r:id="rId5" o:title=""/>
                <o:lock v:ext="edit" rotation="t" aspectratio="f"/>
              </v:shape>
            </w:pict>
          </mc:Fallback>
        </mc:AlternateContent>
      </w:r>
      <w:r w:rsidRPr="00395DD3">
        <w:t xml:space="preserve">Date: </w:t>
      </w:r>
      <w:r>
        <w:t xml:space="preserve"> 16 December </w:t>
      </w:r>
      <w:r w:rsidRPr="00395DD3">
        <w:t>2019</w:t>
      </w:r>
    </w:p>
    <w:p w:rsidR="00AC6EB0" w:rsidRDefault="00AC6EB0" w:rsidP="00AC6EB0">
      <w:pPr>
        <w:suppressAutoHyphens/>
        <w:ind w:left="720" w:hanging="720"/>
        <w:jc w:val="center"/>
        <w:rPr>
          <w:b/>
          <w:spacing w:val="-3"/>
        </w:rPr>
      </w:pPr>
    </w:p>
    <w:p w:rsidR="00AC6EB0" w:rsidRDefault="00AC6EB0" w:rsidP="00AC6EB0">
      <w:pPr>
        <w:suppressAutoHyphens/>
        <w:ind w:left="720" w:hanging="720"/>
        <w:jc w:val="center"/>
        <w:rPr>
          <w:spacing w:val="-3"/>
        </w:rPr>
      </w:pPr>
      <w:proofErr w:type="gramStart"/>
      <w:r w:rsidRPr="00395DD3">
        <w:rPr>
          <w:b/>
          <w:spacing w:val="-3"/>
        </w:rPr>
        <w:t>Before</w:t>
      </w:r>
      <w:r w:rsidRPr="00395DD3">
        <w:rPr>
          <w:spacing w:val="-3"/>
        </w:rPr>
        <w:t xml:space="preserve"> :</w:t>
      </w:r>
      <w:proofErr w:type="gramEnd"/>
    </w:p>
    <w:p w:rsidR="00AC6EB0" w:rsidRDefault="00AC6EB0" w:rsidP="00AC6EB0">
      <w:pPr>
        <w:suppressAutoHyphens/>
        <w:ind w:left="720" w:hanging="720"/>
        <w:jc w:val="center"/>
        <w:rPr>
          <w:spacing w:val="-3"/>
        </w:rPr>
      </w:pPr>
    </w:p>
    <w:p w:rsidR="00AC6EB0" w:rsidRPr="00395DD3" w:rsidRDefault="00AC6EB0" w:rsidP="00AC6EB0">
      <w:pPr>
        <w:suppressAutoHyphens/>
        <w:ind w:left="720" w:hanging="720"/>
        <w:jc w:val="center"/>
        <w:rPr>
          <w:spacing w:val="-3"/>
        </w:rPr>
      </w:pPr>
    </w:p>
    <w:p w:rsidR="00AC6EB0" w:rsidRDefault="00AC6EB0" w:rsidP="00AC6EB0">
      <w:pPr>
        <w:pStyle w:val="CoverMai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center"/>
        <w:rPr>
          <w:szCs w:val="24"/>
        </w:rPr>
      </w:pPr>
      <w:r w:rsidRPr="00395DD3">
        <w:rPr>
          <w:szCs w:val="24"/>
        </w:rPr>
        <w:t>THE HONOURABLE MR JUSTICE FRASER</w:t>
      </w:r>
    </w:p>
    <w:p w:rsidR="00AC6EB0" w:rsidRDefault="00AC6EB0" w:rsidP="00AC6EB0">
      <w:pPr>
        <w:pStyle w:val="CoverMai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center"/>
        <w:rPr>
          <w:szCs w:val="24"/>
        </w:rPr>
      </w:pPr>
    </w:p>
    <w:p w:rsidR="00AC6EB0" w:rsidRPr="00395DD3" w:rsidRDefault="00AC6EB0" w:rsidP="00AC6EB0">
      <w:pPr>
        <w:pStyle w:val="CoverMai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center"/>
        <w:rPr>
          <w:szCs w:val="24"/>
        </w:rPr>
      </w:pPr>
    </w:p>
    <w:p w:rsidR="00AC6EB0" w:rsidRPr="00395DD3" w:rsidRDefault="00AC6EB0" w:rsidP="00AC6EB0">
      <w:pPr>
        <w:suppressAutoHyphens/>
        <w:ind w:left="720" w:hanging="720"/>
        <w:jc w:val="center"/>
        <w:rPr>
          <w:spacing w:val="-3"/>
        </w:rPr>
      </w:pPr>
      <w:r w:rsidRPr="00395DD3">
        <w:rPr>
          <w:spacing w:val="-3"/>
        </w:rPr>
        <w:t>- - - - - - - - - - - - - - - - - - - - -</w:t>
      </w:r>
    </w:p>
    <w:p w:rsidR="00AC6EB0" w:rsidRDefault="00AC6EB0" w:rsidP="00AC6EB0">
      <w:pPr>
        <w:suppressAutoHyphens/>
        <w:ind w:left="720" w:hanging="720"/>
        <w:jc w:val="center"/>
        <w:rPr>
          <w:b/>
          <w:spacing w:val="-3"/>
        </w:rPr>
      </w:pPr>
      <w:r w:rsidRPr="00395DD3">
        <w:rPr>
          <w:b/>
          <w:spacing w:val="-3"/>
        </w:rPr>
        <w:t>Between :</w:t>
      </w:r>
    </w:p>
    <w:p w:rsidR="00AC6EB0" w:rsidRPr="00395DD3" w:rsidRDefault="00AC6EB0" w:rsidP="00AC6EB0">
      <w:pPr>
        <w:suppressAutoHyphens/>
        <w:ind w:left="720" w:hanging="720"/>
        <w:jc w:val="center"/>
        <w:rPr>
          <w:b/>
          <w:spacing w:val="-3"/>
        </w:rPr>
      </w:pPr>
    </w:p>
    <w:tbl>
      <w:tblPr>
        <w:tblW w:w="9126" w:type="dxa"/>
        <w:jc w:val="center"/>
        <w:tblLayout w:type="fixed"/>
        <w:tblLook w:val="0000" w:firstRow="0" w:lastRow="0" w:firstColumn="0" w:lastColumn="0" w:noHBand="0" w:noVBand="0"/>
      </w:tblPr>
      <w:tblGrid>
        <w:gridCol w:w="1776"/>
        <w:gridCol w:w="5568"/>
        <w:gridCol w:w="1782"/>
      </w:tblGrid>
      <w:tr w:rsidR="00AC6EB0" w:rsidRPr="00395DD3" w:rsidTr="00836733">
        <w:trPr>
          <w:jc w:val="center"/>
        </w:trPr>
        <w:tc>
          <w:tcPr>
            <w:tcW w:w="1776" w:type="dxa"/>
          </w:tcPr>
          <w:p w:rsidR="00AC6EB0" w:rsidRPr="00395DD3" w:rsidRDefault="00AC6EB0" w:rsidP="00836733">
            <w:pPr>
              <w:suppressAutoHyphens/>
              <w:ind w:left="720" w:hanging="720"/>
              <w:rPr>
                <w:b/>
                <w:spacing w:val="-3"/>
              </w:rPr>
            </w:pPr>
          </w:p>
        </w:tc>
        <w:tc>
          <w:tcPr>
            <w:tcW w:w="5568" w:type="dxa"/>
          </w:tcPr>
          <w:p w:rsidR="00AC6EB0" w:rsidRPr="00395DD3" w:rsidRDefault="00AC6EB0" w:rsidP="00836733">
            <w:pPr>
              <w:suppressAutoHyphens/>
              <w:ind w:left="720" w:hanging="720"/>
              <w:jc w:val="center"/>
              <w:rPr>
                <w:b/>
                <w:spacing w:val="-3"/>
              </w:rPr>
            </w:pPr>
            <w:r w:rsidRPr="00395DD3">
              <w:rPr>
                <w:b/>
                <w:spacing w:val="-3"/>
              </w:rPr>
              <w:t xml:space="preserve">Alan Bates and Others  </w:t>
            </w:r>
          </w:p>
        </w:tc>
        <w:tc>
          <w:tcPr>
            <w:tcW w:w="1782" w:type="dxa"/>
          </w:tcPr>
          <w:p w:rsidR="00AC6EB0" w:rsidRPr="00395DD3" w:rsidRDefault="00AC6EB0" w:rsidP="00836733">
            <w:pPr>
              <w:pStyle w:val="CoverMain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720" w:hanging="720"/>
              <w:jc w:val="right"/>
              <w:rPr>
                <w:szCs w:val="24"/>
              </w:rPr>
            </w:pPr>
            <w:r w:rsidRPr="00395DD3">
              <w:rPr>
                <w:szCs w:val="24"/>
              </w:rPr>
              <w:t>Claimant</w:t>
            </w:r>
          </w:p>
        </w:tc>
      </w:tr>
      <w:tr w:rsidR="00102B7E" w:rsidRPr="00395DD3" w:rsidTr="00836733">
        <w:trPr>
          <w:jc w:val="center"/>
        </w:trPr>
        <w:tc>
          <w:tcPr>
            <w:tcW w:w="1776" w:type="dxa"/>
          </w:tcPr>
          <w:p w:rsidR="00102B7E" w:rsidRPr="00395DD3" w:rsidRDefault="00102B7E" w:rsidP="00836733">
            <w:pPr>
              <w:suppressAutoHyphens/>
              <w:ind w:left="720" w:hanging="720"/>
              <w:rPr>
                <w:b/>
                <w:spacing w:val="-3"/>
              </w:rPr>
            </w:pPr>
          </w:p>
        </w:tc>
        <w:tc>
          <w:tcPr>
            <w:tcW w:w="5568" w:type="dxa"/>
          </w:tcPr>
          <w:p w:rsidR="00102B7E" w:rsidRPr="00395DD3" w:rsidRDefault="00102B7E" w:rsidP="00836733">
            <w:pPr>
              <w:suppressAutoHyphens/>
              <w:ind w:left="720" w:hanging="720"/>
              <w:jc w:val="center"/>
              <w:rPr>
                <w:b/>
                <w:spacing w:val="-3"/>
              </w:rPr>
            </w:pPr>
          </w:p>
        </w:tc>
        <w:tc>
          <w:tcPr>
            <w:tcW w:w="1782" w:type="dxa"/>
          </w:tcPr>
          <w:p w:rsidR="00102B7E" w:rsidRPr="00395DD3" w:rsidRDefault="00102B7E" w:rsidP="00836733">
            <w:pPr>
              <w:pStyle w:val="CoverMain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720" w:hanging="720"/>
              <w:jc w:val="right"/>
              <w:rPr>
                <w:szCs w:val="24"/>
              </w:rPr>
            </w:pPr>
          </w:p>
        </w:tc>
      </w:tr>
      <w:tr w:rsidR="00AC6EB0" w:rsidRPr="00395DD3" w:rsidTr="00836733">
        <w:trPr>
          <w:jc w:val="center"/>
        </w:trPr>
        <w:tc>
          <w:tcPr>
            <w:tcW w:w="1776" w:type="dxa"/>
          </w:tcPr>
          <w:p w:rsidR="00AC6EB0" w:rsidRPr="00395DD3" w:rsidRDefault="00AC6EB0" w:rsidP="00836733">
            <w:pPr>
              <w:suppressAutoHyphens/>
              <w:ind w:left="720" w:hanging="720"/>
              <w:rPr>
                <w:b/>
                <w:spacing w:val="-3"/>
              </w:rPr>
            </w:pPr>
          </w:p>
        </w:tc>
        <w:tc>
          <w:tcPr>
            <w:tcW w:w="5568" w:type="dxa"/>
          </w:tcPr>
          <w:p w:rsidR="00AC6EB0" w:rsidRDefault="00AC6EB0" w:rsidP="00836733">
            <w:pPr>
              <w:suppressAutoHyphens/>
              <w:ind w:left="720" w:hanging="720"/>
              <w:jc w:val="center"/>
              <w:rPr>
                <w:b/>
                <w:spacing w:val="-3"/>
              </w:rPr>
            </w:pPr>
            <w:r w:rsidRPr="00395DD3">
              <w:rPr>
                <w:b/>
                <w:spacing w:val="-3"/>
              </w:rPr>
              <w:t xml:space="preserve">- and </w:t>
            </w:r>
            <w:r w:rsidR="00102B7E">
              <w:rPr>
                <w:b/>
                <w:spacing w:val="-3"/>
              </w:rPr>
              <w:t>–</w:t>
            </w:r>
          </w:p>
          <w:p w:rsidR="00102B7E" w:rsidRPr="00395DD3" w:rsidRDefault="00102B7E" w:rsidP="00836733">
            <w:pPr>
              <w:suppressAutoHyphens/>
              <w:ind w:left="720" w:hanging="720"/>
              <w:jc w:val="center"/>
              <w:rPr>
                <w:b/>
                <w:spacing w:val="-3"/>
              </w:rPr>
            </w:pPr>
          </w:p>
        </w:tc>
        <w:tc>
          <w:tcPr>
            <w:tcW w:w="1782" w:type="dxa"/>
          </w:tcPr>
          <w:p w:rsidR="00AC6EB0" w:rsidRPr="00395DD3" w:rsidRDefault="00AC6EB0" w:rsidP="00836733">
            <w:pPr>
              <w:pStyle w:val="CoverMain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720" w:hanging="720"/>
              <w:jc w:val="right"/>
              <w:rPr>
                <w:szCs w:val="24"/>
              </w:rPr>
            </w:pPr>
          </w:p>
        </w:tc>
      </w:tr>
      <w:tr w:rsidR="00AC6EB0" w:rsidRPr="00395DD3" w:rsidTr="00836733">
        <w:trPr>
          <w:jc w:val="center"/>
        </w:trPr>
        <w:tc>
          <w:tcPr>
            <w:tcW w:w="1776" w:type="dxa"/>
          </w:tcPr>
          <w:p w:rsidR="00AC6EB0" w:rsidRPr="00395DD3" w:rsidRDefault="00AC6EB0" w:rsidP="00836733">
            <w:pPr>
              <w:suppressAutoHyphens/>
              <w:ind w:left="720" w:hanging="720"/>
              <w:rPr>
                <w:b/>
                <w:spacing w:val="-3"/>
              </w:rPr>
            </w:pPr>
          </w:p>
        </w:tc>
        <w:tc>
          <w:tcPr>
            <w:tcW w:w="5568" w:type="dxa"/>
          </w:tcPr>
          <w:p w:rsidR="00AC6EB0" w:rsidRPr="00395DD3" w:rsidRDefault="00AC6EB0" w:rsidP="00836733">
            <w:pPr>
              <w:suppressAutoHyphens/>
              <w:ind w:left="720" w:hanging="720"/>
              <w:jc w:val="center"/>
              <w:rPr>
                <w:b/>
                <w:spacing w:val="-3"/>
              </w:rPr>
            </w:pPr>
            <w:r w:rsidRPr="00395DD3">
              <w:rPr>
                <w:b/>
                <w:spacing w:val="-3"/>
              </w:rPr>
              <w:t>Post Office Limited</w:t>
            </w:r>
          </w:p>
        </w:tc>
        <w:tc>
          <w:tcPr>
            <w:tcW w:w="1782" w:type="dxa"/>
          </w:tcPr>
          <w:p w:rsidR="00AC6EB0" w:rsidRPr="00395DD3" w:rsidRDefault="00AC6EB0" w:rsidP="00836733">
            <w:pPr>
              <w:pStyle w:val="CoverMain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720" w:hanging="720"/>
              <w:jc w:val="right"/>
              <w:rPr>
                <w:szCs w:val="24"/>
              </w:rPr>
            </w:pPr>
            <w:r w:rsidRPr="00395DD3">
              <w:rPr>
                <w:szCs w:val="24"/>
              </w:rPr>
              <w:t>Defendant</w:t>
            </w:r>
          </w:p>
        </w:tc>
      </w:tr>
    </w:tbl>
    <w:p w:rsidR="00AC6EB0" w:rsidRDefault="00AC6EB0" w:rsidP="00AC6EB0">
      <w:pPr>
        <w:suppressAutoHyphens/>
        <w:ind w:left="720" w:hanging="720"/>
        <w:rPr>
          <w:b/>
          <w:spacing w:val="-3"/>
        </w:rPr>
      </w:pPr>
    </w:p>
    <w:p w:rsidR="00AC6EB0" w:rsidRDefault="00AC6EB0" w:rsidP="00AC6EB0">
      <w:pPr>
        <w:suppressAutoHyphens/>
        <w:ind w:left="720" w:hanging="720"/>
        <w:rPr>
          <w:b/>
          <w:spacing w:val="-3"/>
        </w:rPr>
      </w:pPr>
    </w:p>
    <w:p w:rsidR="00AC6EB0" w:rsidRPr="00395DD3" w:rsidRDefault="00AC6EB0" w:rsidP="00AC6EB0">
      <w:pPr>
        <w:suppressAutoHyphens/>
        <w:ind w:left="720" w:hanging="720"/>
        <w:rPr>
          <w:b/>
          <w:spacing w:val="-3"/>
        </w:rPr>
      </w:pPr>
    </w:p>
    <w:p w:rsidR="00AC6EB0" w:rsidRPr="00395DD3" w:rsidRDefault="00AC6EB0" w:rsidP="00AC6EB0">
      <w:pPr>
        <w:suppressAutoHyphens/>
        <w:ind w:left="720" w:hanging="720"/>
        <w:jc w:val="center"/>
        <w:rPr>
          <w:spacing w:val="-3"/>
        </w:rPr>
      </w:pPr>
      <w:r w:rsidRPr="00395DD3">
        <w:rPr>
          <w:spacing w:val="-3"/>
        </w:rPr>
        <w:t>- - - - - - - - - - - - - - - - - - - - -</w:t>
      </w:r>
    </w:p>
    <w:p w:rsidR="00AC6EB0" w:rsidRDefault="00AC6EB0" w:rsidP="00AC6EB0">
      <w:pPr>
        <w:suppressAutoHyphens/>
        <w:spacing w:after="60"/>
        <w:ind w:left="720" w:hanging="720"/>
        <w:jc w:val="center"/>
        <w:rPr>
          <w:b/>
          <w:spacing w:val="-3"/>
        </w:rPr>
      </w:pPr>
      <w:r>
        <w:rPr>
          <w:b/>
          <w:spacing w:val="-3"/>
        </w:rPr>
        <w:t xml:space="preserve">Appendix </w:t>
      </w:r>
      <w:r w:rsidR="00DC4A5D">
        <w:rPr>
          <w:b/>
          <w:spacing w:val="-3"/>
        </w:rPr>
        <w:t>3</w:t>
      </w:r>
    </w:p>
    <w:p w:rsidR="00AC6EB0" w:rsidRDefault="003C7C27" w:rsidP="00AC6EB0">
      <w:pPr>
        <w:suppressAutoHyphens/>
        <w:spacing w:after="60"/>
        <w:ind w:left="720" w:hanging="720"/>
        <w:jc w:val="center"/>
        <w:rPr>
          <w:b/>
          <w:spacing w:val="-3"/>
        </w:rPr>
      </w:pPr>
      <w:r>
        <w:rPr>
          <w:b/>
          <w:spacing w:val="-3"/>
        </w:rPr>
        <w:t>Glossary</w:t>
      </w:r>
    </w:p>
    <w:p w:rsidR="00AC6EB0" w:rsidRPr="00395DD3" w:rsidRDefault="00AC6EB0" w:rsidP="00AC6EB0">
      <w:pPr>
        <w:suppressAutoHyphens/>
        <w:ind w:left="720" w:hanging="720"/>
        <w:jc w:val="center"/>
        <w:rPr>
          <w:b/>
          <w:spacing w:val="-3"/>
        </w:rPr>
      </w:pPr>
      <w:r w:rsidRPr="00395DD3">
        <w:rPr>
          <w:b/>
          <w:spacing w:val="-3"/>
        </w:rPr>
        <w:t>Judgment (No.</w:t>
      </w:r>
      <w:r>
        <w:rPr>
          <w:b/>
          <w:spacing w:val="-3"/>
        </w:rPr>
        <w:t>6</w:t>
      </w:r>
      <w:r w:rsidRPr="00395DD3">
        <w:rPr>
          <w:b/>
          <w:spacing w:val="-3"/>
        </w:rPr>
        <w:t>) “</w:t>
      </w:r>
      <w:r>
        <w:rPr>
          <w:b/>
          <w:spacing w:val="-3"/>
        </w:rPr>
        <w:t xml:space="preserve">Horizon </w:t>
      </w:r>
      <w:r w:rsidRPr="00395DD3">
        <w:rPr>
          <w:b/>
          <w:spacing w:val="-3"/>
        </w:rPr>
        <w:t>Issues”</w:t>
      </w:r>
    </w:p>
    <w:p w:rsidR="00260AEB" w:rsidRDefault="00AC6EB0" w:rsidP="00AC6EB0">
      <w:pPr>
        <w:jc w:val="center"/>
        <w:rPr>
          <w:spacing w:val="-3"/>
        </w:rPr>
      </w:pPr>
      <w:r w:rsidRPr="00395DD3">
        <w:rPr>
          <w:spacing w:val="-3"/>
        </w:rPr>
        <w:t>- - - - - - - - - - - - - - - - - - - - -</w:t>
      </w:r>
    </w:p>
    <w:p w:rsidR="00260AEB" w:rsidRDefault="00260AEB">
      <w:pPr>
        <w:spacing w:after="160" w:line="259" w:lineRule="auto"/>
        <w:rPr>
          <w:spacing w:val="-3"/>
        </w:rPr>
      </w:pPr>
      <w:r>
        <w:rPr>
          <w:spacing w:val="-3"/>
        </w:rPr>
        <w:br w:type="page"/>
      </w:r>
      <w:bookmarkStart w:id="0" w:name="_GoBack"/>
      <w:bookmarkEnd w:id="0"/>
    </w:p>
    <w:p w:rsidR="00260AEB" w:rsidRPr="00260AEB" w:rsidRDefault="00260AEB" w:rsidP="00260AEB">
      <w:pPr>
        <w:spacing w:after="120" w:line="259" w:lineRule="auto"/>
        <w:rPr>
          <w:rFonts w:eastAsiaTheme="minorHAnsi"/>
          <w:b/>
        </w:rPr>
      </w:pPr>
      <w:r w:rsidRPr="00260AEB">
        <w:rPr>
          <w:rFonts w:eastAsiaTheme="minorHAnsi"/>
          <w:b/>
        </w:rPr>
        <w:lastRenderedPageBreak/>
        <w:t>Term</w:t>
      </w:r>
      <w:r w:rsidRPr="00260AEB">
        <w:rPr>
          <w:rFonts w:eastAsiaTheme="minorHAnsi"/>
          <w:b/>
        </w:rPr>
        <w:tab/>
      </w:r>
      <w:r w:rsidRPr="00260AEB">
        <w:rPr>
          <w:rFonts w:eastAsiaTheme="minorHAnsi"/>
          <w:b/>
        </w:rPr>
        <w:tab/>
      </w:r>
      <w:r w:rsidRPr="00260AEB">
        <w:rPr>
          <w:rFonts w:eastAsiaTheme="minorHAnsi"/>
          <w:b/>
        </w:rPr>
        <w:tab/>
        <w:t>Meaning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AP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 xml:space="preserve">Automated Payment </w:t>
      </w:r>
    </w:p>
    <w:p w:rsidR="00260AEB" w:rsidRPr="00260AEB" w:rsidRDefault="00260AEB" w:rsidP="00260AEB">
      <w:pPr>
        <w:spacing w:after="120" w:line="259" w:lineRule="auto"/>
        <w:ind w:left="1440" w:firstLine="720"/>
        <w:rPr>
          <w:rFonts w:eastAsiaTheme="minorHAnsi"/>
        </w:rPr>
      </w:pPr>
      <w:r w:rsidRPr="00260AEB">
        <w:rPr>
          <w:rFonts w:eastAsiaTheme="minorHAnsi"/>
          <w:i/>
        </w:rPr>
        <w:t xml:space="preserve">or </w:t>
      </w:r>
      <w:r w:rsidRPr="00260AEB">
        <w:rPr>
          <w:rFonts w:eastAsiaTheme="minorHAnsi"/>
        </w:rPr>
        <w:t>Automated Debt Collection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 w:rsidRPr="00260AEB">
        <w:rPr>
          <w:rFonts w:eastAsiaTheme="minorHAnsi"/>
        </w:rPr>
        <w:t>APOP</w:t>
      </w:r>
      <w:proofErr w:type="spellEnd"/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Automated Payment Out-pay Database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APS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Automated Payment Service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BAL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Branch Access Layer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BMS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Business Management System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BP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Balancing Period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 w:rsidRPr="00260AEB">
        <w:rPr>
          <w:rFonts w:eastAsiaTheme="minorHAnsi"/>
        </w:rPr>
        <w:t>BRDB</w:t>
      </w:r>
      <w:proofErr w:type="spellEnd"/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Branch Database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BTS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Branch Trading Statement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CA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Cash Account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CAP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Cash Account Period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CMMI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Capability Maturity Model Integration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DBA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Database administrator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DBMS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Database Management System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DEA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Double entry accounting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DRS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Data Reconciliation Service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 w:rsidRPr="00260AEB">
        <w:rPr>
          <w:rFonts w:eastAsiaTheme="minorHAnsi"/>
        </w:rPr>
        <w:t>DVLA</w:t>
      </w:r>
      <w:proofErr w:type="spellEnd"/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Driver and Vehicle Licencing Agency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 w:rsidRPr="00260AEB">
        <w:rPr>
          <w:rFonts w:eastAsiaTheme="minorHAnsi"/>
        </w:rPr>
        <w:t>DWH</w:t>
      </w:r>
      <w:proofErr w:type="spellEnd"/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Data Warehouse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 w:rsidRPr="00260AEB">
        <w:rPr>
          <w:rFonts w:eastAsiaTheme="minorHAnsi"/>
        </w:rPr>
        <w:t>DWP</w:t>
      </w:r>
      <w:proofErr w:type="spellEnd"/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Department of Word &amp; Pensions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 w:rsidRPr="00260AEB">
        <w:rPr>
          <w:rFonts w:eastAsiaTheme="minorHAnsi"/>
        </w:rPr>
        <w:t>EPOSS</w:t>
      </w:r>
      <w:proofErr w:type="spellEnd"/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Electronic Point of Sale Software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ERP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Enterprise Resource Planning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 w:rsidRPr="00260AEB">
        <w:rPr>
          <w:rFonts w:eastAsiaTheme="minorHAnsi"/>
        </w:rPr>
        <w:t>HLD</w:t>
      </w:r>
      <w:proofErr w:type="spellEnd"/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High Level Design</w:t>
      </w:r>
    </w:p>
    <w:p w:rsid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 w:rsidRPr="00260AEB">
        <w:rPr>
          <w:rFonts w:eastAsiaTheme="minorHAnsi"/>
        </w:rPr>
        <w:t>HNG</w:t>
      </w:r>
      <w:proofErr w:type="spellEnd"/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Horizon New Generation (or Online) implemented in 2010</w:t>
      </w:r>
    </w:p>
    <w:p w:rsid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>
        <w:rPr>
          <w:rFonts w:eastAsiaTheme="minorHAnsi"/>
        </w:rPr>
        <w:t>HNG</w:t>
      </w:r>
      <w:proofErr w:type="spellEnd"/>
      <w:r>
        <w:rPr>
          <w:rFonts w:eastAsiaTheme="minorHAnsi"/>
        </w:rPr>
        <w:t xml:space="preserve"> - A</w:t>
      </w:r>
      <w:r>
        <w:rPr>
          <w:rFonts w:eastAsiaTheme="minorHAnsi"/>
        </w:rPr>
        <w:tab/>
      </w:r>
      <w:r>
        <w:rPr>
          <w:rFonts w:eastAsiaTheme="minorHAnsi"/>
        </w:rPr>
        <w:tab/>
        <w:t>Horizon Online since 2017</w:t>
      </w:r>
    </w:p>
    <w:p w:rsid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>
        <w:rPr>
          <w:rFonts w:eastAsiaTheme="minorHAnsi"/>
        </w:rPr>
        <w:t>HNG</w:t>
      </w:r>
      <w:proofErr w:type="spellEnd"/>
      <w:r>
        <w:rPr>
          <w:rFonts w:eastAsiaTheme="minorHAnsi"/>
        </w:rPr>
        <w:t xml:space="preserve"> – X</w:t>
      </w:r>
      <w:r>
        <w:rPr>
          <w:rFonts w:eastAsiaTheme="minorHAnsi"/>
        </w:rPr>
        <w:tab/>
      </w:r>
      <w:r>
        <w:rPr>
          <w:rFonts w:eastAsiaTheme="minorHAnsi"/>
        </w:rPr>
        <w:tab/>
        <w:t>Horizon Online 2010 – 2017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HSD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Horizon Service Desk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 w:rsidRPr="00260AEB">
        <w:rPr>
          <w:rFonts w:eastAsiaTheme="minorHAnsi"/>
        </w:rPr>
        <w:t>IS</w:t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Infrastructure Services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 w:rsidRPr="00260AEB">
        <w:rPr>
          <w:rFonts w:eastAsiaTheme="minorHAnsi"/>
        </w:rPr>
        <w:t>JSN</w:t>
      </w:r>
      <w:proofErr w:type="spellEnd"/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Journal Sequence Number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 w:rsidRPr="00260AEB">
        <w:rPr>
          <w:rFonts w:eastAsiaTheme="minorHAnsi"/>
        </w:rPr>
        <w:t>KEL</w:t>
      </w:r>
      <w:proofErr w:type="spellEnd"/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Known Error Log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r>
        <w:rPr>
          <w:rFonts w:eastAsiaTheme="minorHAnsi"/>
        </w:rPr>
        <w:t>Legacy Horizon</w:t>
      </w:r>
      <w:r>
        <w:rPr>
          <w:rFonts w:eastAsiaTheme="minorHAnsi"/>
        </w:rPr>
        <w:tab/>
      </w:r>
      <w:proofErr w:type="spellStart"/>
      <w:r w:rsidRPr="00260AEB">
        <w:rPr>
          <w:rFonts w:eastAsiaTheme="minorHAnsi"/>
        </w:rPr>
        <w:t>Horizon</w:t>
      </w:r>
      <w:proofErr w:type="spellEnd"/>
      <w:r w:rsidRPr="00260AEB">
        <w:rPr>
          <w:rFonts w:eastAsiaTheme="minorHAnsi"/>
        </w:rPr>
        <w:t xml:space="preserve"> 2000 – 2010  </w:t>
      </w:r>
      <w:r w:rsidRPr="00260AEB">
        <w:rPr>
          <w:rFonts w:eastAsiaTheme="minorHAnsi"/>
        </w:rPr>
        <w:tab/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  <w:proofErr w:type="spellStart"/>
      <w:r w:rsidRPr="00260AEB">
        <w:rPr>
          <w:rFonts w:eastAsiaTheme="minorHAnsi"/>
        </w:rPr>
        <w:t>LFS</w:t>
      </w:r>
      <w:proofErr w:type="spellEnd"/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</w:r>
      <w:r w:rsidRPr="00260AEB">
        <w:rPr>
          <w:rFonts w:eastAsiaTheme="minorHAnsi"/>
        </w:rPr>
        <w:tab/>
        <w:t>Logistics Feeder Service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MD5</w:t>
      </w:r>
      <w:r w:rsidRPr="00260AEB">
        <w:rPr>
          <w:rFonts w:eastAsiaTheme="minorHAnsi"/>
        </w:rPr>
        <w:tab/>
        <w:t>Technique for creating a hash code for some piece of data, which would change if the data was altered in any way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lastRenderedPageBreak/>
        <w:t>MID</w:t>
      </w:r>
      <w:r w:rsidRPr="00260AEB">
        <w:rPr>
          <w:rFonts w:eastAsiaTheme="minorHAnsi"/>
        </w:rPr>
        <w:tab/>
        <w:t>Manual Inspection of data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MIS</w:t>
      </w:r>
      <w:r w:rsidRPr="00260AEB">
        <w:rPr>
          <w:rFonts w:eastAsiaTheme="minorHAnsi"/>
        </w:rPr>
        <w:tab/>
        <w:t>Management Information System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MSC</w:t>
      </w:r>
      <w:r w:rsidRPr="00260AEB">
        <w:rPr>
          <w:rFonts w:eastAsiaTheme="minorHAnsi"/>
        </w:rPr>
        <w:tab/>
        <w:t>Managed Service Change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proofErr w:type="spellStart"/>
      <w:r w:rsidRPr="00260AEB">
        <w:rPr>
          <w:rFonts w:eastAsiaTheme="minorHAnsi"/>
        </w:rPr>
        <w:t>NBSC</w:t>
      </w:r>
      <w:proofErr w:type="spellEnd"/>
      <w:r w:rsidRPr="00260AEB">
        <w:rPr>
          <w:rFonts w:eastAsiaTheme="minorHAnsi"/>
        </w:rPr>
        <w:tab/>
        <w:t>Network Business Support Centre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 xml:space="preserve">Pathway </w:t>
      </w:r>
      <w:r w:rsidRPr="00260AEB">
        <w:rPr>
          <w:rFonts w:eastAsiaTheme="minorHAnsi"/>
        </w:rPr>
        <w:tab/>
      </w:r>
      <w:proofErr w:type="spellStart"/>
      <w:r w:rsidRPr="00260AEB">
        <w:rPr>
          <w:rFonts w:eastAsiaTheme="minorHAnsi"/>
        </w:rPr>
        <w:t>ICL</w:t>
      </w:r>
      <w:proofErr w:type="spellEnd"/>
      <w:r w:rsidRPr="00260AEB">
        <w:rPr>
          <w:rFonts w:eastAsiaTheme="minorHAnsi"/>
        </w:rPr>
        <w:t xml:space="preserve"> division created for Horizon, which later became part of Fujitsu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PCI</w:t>
      </w:r>
      <w:r w:rsidRPr="00260AEB">
        <w:rPr>
          <w:rFonts w:eastAsiaTheme="minorHAnsi"/>
        </w:rPr>
        <w:tab/>
        <w:t>Payment Card Industry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proofErr w:type="spellStart"/>
      <w:r w:rsidRPr="00260AEB">
        <w:rPr>
          <w:rFonts w:eastAsiaTheme="minorHAnsi"/>
        </w:rPr>
        <w:t>PDL</w:t>
      </w:r>
      <w:proofErr w:type="spellEnd"/>
      <w:r w:rsidRPr="00260AEB">
        <w:rPr>
          <w:rFonts w:eastAsiaTheme="minorHAnsi"/>
        </w:rPr>
        <w:tab/>
        <w:t>Process Definition Language (an example of reference data)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proofErr w:type="spellStart"/>
      <w:r w:rsidRPr="00260AEB">
        <w:rPr>
          <w:rFonts w:eastAsiaTheme="minorHAnsi"/>
        </w:rPr>
        <w:t>POA</w:t>
      </w:r>
      <w:proofErr w:type="spellEnd"/>
      <w:r w:rsidRPr="00260AEB">
        <w:rPr>
          <w:rFonts w:eastAsiaTheme="minorHAnsi"/>
        </w:rPr>
        <w:tab/>
        <w:t>Post Office Account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POL FS</w:t>
      </w:r>
      <w:r w:rsidRPr="00260AEB">
        <w:rPr>
          <w:rFonts w:eastAsiaTheme="minorHAnsi"/>
        </w:rPr>
        <w:tab/>
        <w:t xml:space="preserve">Earlier name for </w:t>
      </w:r>
      <w:proofErr w:type="spellStart"/>
      <w:r w:rsidRPr="00260AEB">
        <w:rPr>
          <w:rFonts w:eastAsiaTheme="minorHAnsi"/>
        </w:rPr>
        <w:t>POLSAP</w:t>
      </w:r>
      <w:proofErr w:type="spellEnd"/>
      <w:r w:rsidRPr="00260AEB">
        <w:rPr>
          <w:rFonts w:eastAsiaTheme="minorHAnsi"/>
        </w:rPr>
        <w:t>, from 2004 – 2010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proofErr w:type="spellStart"/>
      <w:r w:rsidRPr="00260AEB">
        <w:rPr>
          <w:rFonts w:eastAsiaTheme="minorHAnsi"/>
        </w:rPr>
        <w:t>POLSAP</w:t>
      </w:r>
      <w:proofErr w:type="spellEnd"/>
      <w:r w:rsidRPr="00260AEB">
        <w:rPr>
          <w:rFonts w:eastAsiaTheme="minorHAnsi"/>
        </w:rPr>
        <w:tab/>
        <w:t>PO’s central accounting system since 2010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POS</w:t>
      </w:r>
      <w:r w:rsidRPr="00260AEB">
        <w:rPr>
          <w:rFonts w:eastAsiaTheme="minorHAnsi"/>
        </w:rPr>
        <w:tab/>
        <w:t>Point of Sale</w:t>
      </w:r>
    </w:p>
    <w:p w:rsid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PRINCE2</w:t>
      </w:r>
      <w:r w:rsidRPr="00260AEB">
        <w:rPr>
          <w:rFonts w:eastAsiaTheme="minorHAnsi"/>
        </w:rPr>
        <w:tab/>
        <w:t>Project Management Methodology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>
        <w:rPr>
          <w:rFonts w:eastAsiaTheme="minorHAnsi"/>
        </w:rPr>
        <w:t>PTR</w:t>
      </w:r>
      <w:r>
        <w:rPr>
          <w:rFonts w:eastAsiaTheme="minorHAnsi"/>
        </w:rPr>
        <w:tab/>
        <w:t>Pre-Trial Review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proofErr w:type="spellStart"/>
      <w:r w:rsidRPr="00260AEB">
        <w:rPr>
          <w:rFonts w:eastAsiaTheme="minorHAnsi"/>
        </w:rPr>
        <w:t>RAC</w:t>
      </w:r>
      <w:proofErr w:type="spellEnd"/>
      <w:r w:rsidRPr="00260AEB">
        <w:rPr>
          <w:rFonts w:eastAsiaTheme="minorHAnsi"/>
        </w:rPr>
        <w:tab/>
        <w:t>Real Application Custer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proofErr w:type="spellStart"/>
      <w:r w:rsidRPr="00260AEB">
        <w:rPr>
          <w:rFonts w:eastAsiaTheme="minorHAnsi"/>
        </w:rPr>
        <w:t>RDDS</w:t>
      </w:r>
      <w:proofErr w:type="spellEnd"/>
      <w:r w:rsidRPr="00260AEB">
        <w:rPr>
          <w:rFonts w:eastAsiaTheme="minorHAnsi"/>
        </w:rPr>
        <w:tab/>
        <w:t>Reference Data Delivery Service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proofErr w:type="spellStart"/>
      <w:r w:rsidRPr="00260AEB">
        <w:rPr>
          <w:rFonts w:eastAsiaTheme="minorHAnsi"/>
        </w:rPr>
        <w:t>RDMC</w:t>
      </w:r>
      <w:proofErr w:type="spellEnd"/>
      <w:r w:rsidRPr="00260AEB">
        <w:rPr>
          <w:rFonts w:eastAsiaTheme="minorHAnsi"/>
        </w:rPr>
        <w:tab/>
        <w:t>Reference Data Management Centre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proofErr w:type="spellStart"/>
      <w:r w:rsidRPr="00260AEB">
        <w:rPr>
          <w:rFonts w:eastAsiaTheme="minorHAnsi"/>
        </w:rPr>
        <w:t>RDMS</w:t>
      </w:r>
      <w:proofErr w:type="spellEnd"/>
      <w:r w:rsidRPr="00260AEB">
        <w:rPr>
          <w:rFonts w:eastAsiaTheme="minorHAnsi"/>
        </w:rPr>
        <w:tab/>
        <w:t>Reference Data Management System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proofErr w:type="spellStart"/>
      <w:r w:rsidRPr="00260AEB">
        <w:rPr>
          <w:rFonts w:eastAsiaTheme="minorHAnsi"/>
        </w:rPr>
        <w:t>RDS</w:t>
      </w:r>
      <w:proofErr w:type="spellEnd"/>
      <w:r w:rsidRPr="00260AEB">
        <w:rPr>
          <w:rFonts w:eastAsiaTheme="minorHAnsi"/>
        </w:rPr>
        <w:tab/>
        <w:t>Redundant data storage and computing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proofErr w:type="spellStart"/>
      <w:r w:rsidRPr="00260AEB">
        <w:rPr>
          <w:rFonts w:eastAsiaTheme="minorHAnsi"/>
        </w:rPr>
        <w:t>remming</w:t>
      </w:r>
      <w:proofErr w:type="spellEnd"/>
      <w:r w:rsidRPr="00260AEB">
        <w:rPr>
          <w:rFonts w:eastAsiaTheme="minorHAnsi"/>
        </w:rPr>
        <w:tab/>
        <w:t>Remitting cash or stock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Riposte</w:t>
      </w:r>
      <w:r w:rsidRPr="00260AEB">
        <w:rPr>
          <w:rFonts w:eastAsiaTheme="minorHAnsi"/>
        </w:rPr>
        <w:tab/>
        <w:t>Software product from Escher, used to build software for Post Offices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SAP</w:t>
      </w:r>
      <w:r w:rsidRPr="00260AEB">
        <w:rPr>
          <w:rFonts w:eastAsiaTheme="minorHAnsi"/>
        </w:rPr>
        <w:tab/>
        <w:t>Industry leading resource planning and accounting system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SAP ADS</w:t>
      </w:r>
      <w:r w:rsidRPr="00260AEB">
        <w:rPr>
          <w:rFonts w:eastAsiaTheme="minorHAnsi"/>
        </w:rPr>
        <w:tab/>
        <w:t>SAP applied to administrative data services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SEC</w:t>
      </w:r>
      <w:r w:rsidRPr="00260AEB">
        <w:rPr>
          <w:rFonts w:eastAsiaTheme="minorHAnsi"/>
        </w:rPr>
        <w:tab/>
        <w:t>Security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SEK</w:t>
      </w:r>
      <w:r w:rsidRPr="00260AEB">
        <w:rPr>
          <w:rFonts w:eastAsiaTheme="minorHAnsi"/>
        </w:rPr>
        <w:tab/>
        <w:t>Secure kernel hardware and software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SLA</w:t>
      </w:r>
      <w:r w:rsidRPr="00260AEB">
        <w:rPr>
          <w:rFonts w:eastAsiaTheme="minorHAnsi"/>
        </w:rPr>
        <w:tab/>
        <w:t>Service Level Agreement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SMC</w:t>
      </w:r>
      <w:r w:rsidRPr="00260AEB">
        <w:rPr>
          <w:rFonts w:eastAsiaTheme="minorHAnsi"/>
        </w:rPr>
        <w:tab/>
        <w:t>System Management Centre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SPM</w:t>
      </w:r>
      <w:r w:rsidRPr="00260AEB">
        <w:rPr>
          <w:rFonts w:eastAsiaTheme="minorHAnsi"/>
        </w:rPr>
        <w:tab/>
      </w:r>
      <w:proofErr w:type="spellStart"/>
      <w:r w:rsidRPr="00260AEB">
        <w:rPr>
          <w:rFonts w:eastAsiaTheme="minorHAnsi"/>
        </w:rPr>
        <w:t>Subpostmaster</w:t>
      </w:r>
      <w:proofErr w:type="spellEnd"/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SSC</w:t>
      </w:r>
      <w:r w:rsidRPr="00260AEB">
        <w:rPr>
          <w:rFonts w:eastAsiaTheme="minorHAnsi"/>
        </w:rPr>
        <w:tab/>
        <w:t>Software Support Centre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SU</w:t>
      </w:r>
      <w:r w:rsidRPr="00260AEB">
        <w:rPr>
          <w:rFonts w:eastAsiaTheme="minorHAnsi"/>
        </w:rPr>
        <w:tab/>
        <w:t>Stock Unit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TA</w:t>
      </w:r>
      <w:r w:rsidRPr="00260AEB">
        <w:rPr>
          <w:rFonts w:eastAsiaTheme="minorHAnsi"/>
        </w:rPr>
        <w:tab/>
        <w:t>Transaction Acknowledgement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TC</w:t>
      </w:r>
      <w:r w:rsidRPr="00260AEB">
        <w:rPr>
          <w:rFonts w:eastAsiaTheme="minorHAnsi"/>
        </w:rPr>
        <w:tab/>
        <w:t>Transaction Correction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TES</w:t>
      </w:r>
      <w:r w:rsidRPr="00260AEB">
        <w:rPr>
          <w:rFonts w:eastAsiaTheme="minorHAnsi"/>
        </w:rPr>
        <w:tab/>
        <w:t>Transaction Enquiry Service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TIN</w:t>
      </w:r>
      <w:r w:rsidRPr="00260AEB">
        <w:rPr>
          <w:rFonts w:eastAsiaTheme="minorHAnsi"/>
        </w:rPr>
        <w:tab/>
        <w:t>Transactional integrity and recovery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lastRenderedPageBreak/>
        <w:t>TIP</w:t>
      </w:r>
      <w:r w:rsidRPr="00260AEB">
        <w:rPr>
          <w:rFonts w:eastAsiaTheme="minorHAnsi"/>
        </w:rPr>
        <w:tab/>
        <w:t>Transaction Information Processing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TP</w:t>
      </w:r>
      <w:r w:rsidRPr="00260AEB">
        <w:rPr>
          <w:rFonts w:eastAsiaTheme="minorHAnsi"/>
        </w:rPr>
        <w:tab/>
        <w:t>Trading Period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TPS</w:t>
      </w:r>
      <w:r w:rsidRPr="00260AEB">
        <w:rPr>
          <w:rFonts w:eastAsiaTheme="minorHAnsi"/>
        </w:rPr>
        <w:tab/>
        <w:t>Transaction Processing Service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VPN</w:t>
      </w:r>
      <w:r w:rsidRPr="00260AEB">
        <w:rPr>
          <w:rFonts w:eastAsiaTheme="minorHAnsi"/>
        </w:rPr>
        <w:tab/>
        <w:t>Virtual Private Network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proofErr w:type="spellStart"/>
      <w:r w:rsidRPr="00260AEB">
        <w:rPr>
          <w:rFonts w:eastAsiaTheme="minorHAnsi"/>
        </w:rPr>
        <w:t>WSPOS</w:t>
      </w:r>
      <w:proofErr w:type="spellEnd"/>
      <w:r w:rsidRPr="00260AEB">
        <w:rPr>
          <w:rFonts w:eastAsiaTheme="minorHAnsi"/>
        </w:rPr>
        <w:tab/>
        <w:t>Web Services POS</w:t>
      </w:r>
    </w:p>
    <w:p w:rsidR="00260AEB" w:rsidRPr="00260AEB" w:rsidRDefault="00260AEB" w:rsidP="00260AEB">
      <w:pPr>
        <w:spacing w:after="120" w:line="259" w:lineRule="auto"/>
        <w:ind w:left="2160" w:hanging="2160"/>
        <w:rPr>
          <w:rFonts w:eastAsiaTheme="minorHAnsi"/>
        </w:rPr>
      </w:pPr>
      <w:r w:rsidRPr="00260AEB">
        <w:rPr>
          <w:rFonts w:eastAsiaTheme="minorHAnsi"/>
        </w:rPr>
        <w:t>XML</w:t>
      </w:r>
      <w:r w:rsidRPr="00260AEB">
        <w:rPr>
          <w:rFonts w:eastAsiaTheme="minorHAnsi"/>
        </w:rPr>
        <w:tab/>
        <w:t>Extensible Message Language</w:t>
      </w:r>
    </w:p>
    <w:p w:rsidR="00260AEB" w:rsidRPr="00260AEB" w:rsidRDefault="00260AEB" w:rsidP="00260AEB">
      <w:pPr>
        <w:spacing w:after="120" w:line="259" w:lineRule="auto"/>
        <w:rPr>
          <w:rFonts w:eastAsiaTheme="minorHAnsi"/>
        </w:rPr>
      </w:pPr>
    </w:p>
    <w:p w:rsidR="001F2CD9" w:rsidRPr="00260AEB" w:rsidRDefault="001F2CD9" w:rsidP="00260AEB"/>
    <w:sectPr w:rsidR="001F2CD9" w:rsidRPr="0026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B0"/>
    <w:rsid w:val="00102B7E"/>
    <w:rsid w:val="001F2CD9"/>
    <w:rsid w:val="00260AEB"/>
    <w:rsid w:val="003C7C27"/>
    <w:rsid w:val="00745156"/>
    <w:rsid w:val="00AC6EB0"/>
    <w:rsid w:val="00D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CDBF"/>
  <w15:chartTrackingRefBased/>
  <w15:docId w15:val="{82E345C7-5B90-4761-B655-D625DA43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Main">
    <w:name w:val="CoverMain"/>
    <w:basedOn w:val="Normal"/>
    <w:rsid w:val="00AC6E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uiPriority w:val="99"/>
    <w:rsid w:val="00AC6EB0"/>
    <w:pPr>
      <w:jc w:val="right"/>
    </w:pPr>
    <w:rPr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23T14:25:02.7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0 634 32767,'71'-94'0,"-71"94"0,71-98 0,0 4 0,-1-3 0,-1 3 0,3-1 0,-72 95 0,-17-62 0,17 62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Angela</dc:creator>
  <cp:keywords/>
  <dc:description/>
  <cp:lastModifiedBy>Fraser, Angela</cp:lastModifiedBy>
  <cp:revision>7</cp:revision>
  <cp:lastPrinted>2019-12-13T19:26:00Z</cp:lastPrinted>
  <dcterms:created xsi:type="dcterms:W3CDTF">2019-12-02T16:03:00Z</dcterms:created>
  <dcterms:modified xsi:type="dcterms:W3CDTF">2019-12-13T19:27:00Z</dcterms:modified>
</cp:coreProperties>
</file>